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839B" w14:textId="4337B8F5" w:rsidR="00EC5049" w:rsidRDefault="00000000">
      <w:pPr>
        <w:pStyle w:val="Heading1"/>
        <w:spacing w:before="41" w:line="400" w:lineRule="auto"/>
        <w:ind w:left="3701" w:right="1555" w:hanging="1803"/>
      </w:pP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IRC</w:t>
      </w:r>
      <w:r>
        <w:rPr>
          <w:spacing w:val="-3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Overhead</w:t>
      </w:r>
      <w:r>
        <w:rPr>
          <w:spacing w:val="-4"/>
        </w:rPr>
        <w:t xml:space="preserve"> </w:t>
      </w:r>
      <w:r>
        <w:t>Rates, CHIST-ERA Call 202</w:t>
      </w:r>
      <w:r w:rsidR="002317D7">
        <w:t>3</w:t>
      </w:r>
    </w:p>
    <w:p w14:paraId="5C0092F2" w14:textId="77777777" w:rsidR="00EC5049" w:rsidRDefault="00EC5049">
      <w:pPr>
        <w:pStyle w:val="BodyText"/>
        <w:spacing w:before="183"/>
        <w:ind w:left="0"/>
        <w:rPr>
          <w:b/>
        </w:rPr>
      </w:pPr>
    </w:p>
    <w:p w14:paraId="1D122C40" w14:textId="77777777" w:rsidR="00EC5049" w:rsidRDefault="00000000">
      <w:pPr>
        <w:ind w:left="100"/>
        <w:rPr>
          <w:b/>
        </w:rPr>
      </w:pPr>
      <w:r>
        <w:rPr>
          <w:b/>
          <w:spacing w:val="-2"/>
          <w:u w:val="single"/>
        </w:rPr>
        <w:t>General:</w:t>
      </w:r>
    </w:p>
    <w:p w14:paraId="5D386106" w14:textId="77777777" w:rsidR="00EC5049" w:rsidRDefault="00000000">
      <w:pPr>
        <w:pStyle w:val="BodyText"/>
        <w:spacing w:before="183" w:line="259" w:lineRule="auto"/>
        <w:ind w:left="100" w:right="1087"/>
      </w:pPr>
      <w:r>
        <w:t>Maximum</w:t>
      </w:r>
      <w:r>
        <w:rPr>
          <w:spacing w:val="-1"/>
        </w:rPr>
        <w:t xml:space="preserve"> </w:t>
      </w:r>
      <w:r>
        <w:t>funding to any</w:t>
      </w:r>
      <w:r>
        <w:rPr>
          <w:spacing w:val="-1"/>
        </w:rPr>
        <w:t xml:space="preserve"> </w:t>
      </w:r>
      <w:r>
        <w:t>one Principal Investigator</w:t>
      </w:r>
      <w:r>
        <w:rPr>
          <w:spacing w:val="-2"/>
        </w:rPr>
        <w:t xml:space="preserve"> </w:t>
      </w:r>
      <w:r>
        <w:t>is limited</w:t>
      </w:r>
      <w:r>
        <w:rPr>
          <w:spacing w:val="-2"/>
        </w:rPr>
        <w:t xml:space="preserve"> </w:t>
      </w:r>
      <w:r>
        <w:t>to €150,000 per project. This total is inclusive of overhead and the maximum will only be allocated to truly exceptional proposals. One mission of Irish Research Council is to support early-stage research</w:t>
      </w:r>
      <w:r>
        <w:rPr>
          <w:spacing w:val="-5"/>
        </w:rPr>
        <w:t xml:space="preserve"> </w:t>
      </w:r>
      <w:r>
        <w:t>careers.</w:t>
      </w:r>
      <w:r>
        <w:rPr>
          <w:spacing w:val="-4"/>
        </w:rPr>
        <w:t xml:space="preserve"> </w:t>
      </w:r>
      <w:proofErr w:type="gramStart"/>
      <w:r>
        <w:t>Particular</w:t>
      </w:r>
      <w:r>
        <w:rPr>
          <w:spacing w:val="-5"/>
        </w:rPr>
        <w:t xml:space="preserve"> </w:t>
      </w:r>
      <w:r>
        <w:t>emphasis</w:t>
      </w:r>
      <w:proofErr w:type="gramEnd"/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PhD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 early-stage Postdoctoral contracts under these awards.</w:t>
      </w:r>
    </w:p>
    <w:p w14:paraId="56EF11D9" w14:textId="77777777" w:rsidR="00EC5049" w:rsidRDefault="00EC5049">
      <w:pPr>
        <w:pStyle w:val="BodyText"/>
        <w:spacing w:before="179"/>
        <w:ind w:left="0"/>
      </w:pPr>
    </w:p>
    <w:p w14:paraId="2C8C968A" w14:textId="77777777" w:rsidR="00EC5049" w:rsidRDefault="00000000">
      <w:pPr>
        <w:pStyle w:val="Heading1"/>
        <w:spacing w:before="1"/>
      </w:pPr>
      <w:r>
        <w:rPr>
          <w:u w:val="single"/>
        </w:rPr>
        <w:t>Recurrent</w:t>
      </w:r>
      <w:r>
        <w:rPr>
          <w:spacing w:val="-8"/>
          <w:u w:val="single"/>
        </w:rPr>
        <w:t xml:space="preserve"> </w:t>
      </w:r>
      <w:r>
        <w:rPr>
          <w:u w:val="single"/>
        </w:rPr>
        <w:t>Eligible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Direct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Costs:</w:t>
      </w:r>
    </w:p>
    <w:p w14:paraId="2877E468" w14:textId="77777777" w:rsidR="00EC5049" w:rsidRDefault="00000000">
      <w:pPr>
        <w:pStyle w:val="BodyText"/>
        <w:spacing w:before="180"/>
        <w:ind w:left="100"/>
      </w:pPr>
      <w:r>
        <w:t>Postgraduate</w:t>
      </w:r>
      <w:r>
        <w:rPr>
          <w:spacing w:val="-8"/>
        </w:rPr>
        <w:t xml:space="preserve"> </w:t>
      </w:r>
      <w:r>
        <w:t>stipends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stipend</w:t>
      </w:r>
      <w:r>
        <w:rPr>
          <w:spacing w:val="-5"/>
        </w:rPr>
        <w:t xml:space="preserve"> is</w:t>
      </w:r>
    </w:p>
    <w:p w14:paraId="1A822D12" w14:textId="4BBF6E16" w:rsidR="00EC5049" w:rsidRDefault="00000000">
      <w:pPr>
        <w:pStyle w:val="BodyText"/>
        <w:spacing w:line="259" w:lineRule="auto"/>
        <w:ind w:left="100" w:right="503"/>
      </w:pPr>
      <w:r>
        <w:t>€</w:t>
      </w:r>
      <w:r w:rsidR="002317D7">
        <w:t>22,0</w:t>
      </w:r>
      <w:r>
        <w:t>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annum;</w:t>
      </w:r>
      <w:r>
        <w:rPr>
          <w:spacing w:val="-1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€5,750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annum).</w:t>
      </w:r>
      <w:r>
        <w:rPr>
          <w:spacing w:val="-1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 xml:space="preserve">three-year funding will be provided as standard. For a fourth year of funding to be awarded a </w:t>
      </w:r>
      <w:proofErr w:type="spellStart"/>
      <w:r>
        <w:t>recognised</w:t>
      </w:r>
      <w:proofErr w:type="spellEnd"/>
      <w:r>
        <w:t xml:space="preserve"> structured Ph.D. </w:t>
      </w:r>
      <w:proofErr w:type="spellStart"/>
      <w:r>
        <w:t>programme</w:t>
      </w:r>
      <w:proofErr w:type="spellEnd"/>
      <w:r>
        <w:t xml:space="preserve"> must be in place for students and specific justification provided.</w:t>
      </w:r>
    </w:p>
    <w:p w14:paraId="0F07C35D" w14:textId="77777777" w:rsidR="00EC5049" w:rsidRDefault="00EC5049">
      <w:pPr>
        <w:pStyle w:val="BodyText"/>
        <w:spacing w:before="182"/>
        <w:ind w:left="0"/>
      </w:pPr>
    </w:p>
    <w:p w14:paraId="37DE86A0" w14:textId="77777777" w:rsidR="00EC5049" w:rsidRDefault="00000000">
      <w:pPr>
        <w:pStyle w:val="Heading1"/>
      </w:pPr>
      <w:r>
        <w:rPr>
          <w:u w:val="single"/>
        </w:rPr>
        <w:t>Post-doctoral</w:t>
      </w:r>
      <w:r>
        <w:rPr>
          <w:spacing w:val="-8"/>
          <w:u w:val="single"/>
        </w:rPr>
        <w:t xml:space="preserve"> </w:t>
      </w:r>
      <w:r>
        <w:rPr>
          <w:u w:val="single"/>
        </w:rPr>
        <w:t>salaries,</w:t>
      </w:r>
      <w:r>
        <w:rPr>
          <w:spacing w:val="-7"/>
          <w:u w:val="single"/>
        </w:rPr>
        <w:t xml:space="preserve"> </w:t>
      </w:r>
      <w:r>
        <w:rPr>
          <w:u w:val="single"/>
        </w:rPr>
        <w:t>to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include:</w:t>
      </w:r>
    </w:p>
    <w:p w14:paraId="6EDF78AC" w14:textId="33E52900" w:rsidR="00EC504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81" w:line="259" w:lineRule="auto"/>
        <w:ind w:right="897"/>
      </w:pPr>
      <w:r>
        <w:t xml:space="preserve">Base Salary See </w:t>
      </w:r>
      <w:hyperlink r:id="rId5" w:history="1">
        <w:r w:rsidRPr="002317D7">
          <w:rPr>
            <w:rStyle w:val="Hyperlink"/>
          </w:rPr>
          <w:t>IUA Salary Scales</w:t>
        </w:r>
      </w:hyperlink>
      <w:r w:rsidR="002317D7">
        <w:t xml:space="preserve"> </w:t>
      </w:r>
      <w:r>
        <w:t>(the point on the scale should be determined by</w:t>
      </w:r>
      <w:r>
        <w:rPr>
          <w:spacing w:val="-2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rationale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selecting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should be explained in the budget justification)</w:t>
      </w:r>
      <w:r w:rsidR="002317D7">
        <w:t>.</w:t>
      </w:r>
    </w:p>
    <w:p w14:paraId="0E254271" w14:textId="77777777" w:rsidR="00EC5049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0" w:line="279" w:lineRule="exact"/>
      </w:pPr>
      <w:r>
        <w:t>Employer’s</w:t>
      </w:r>
      <w:r>
        <w:rPr>
          <w:spacing w:val="-6"/>
        </w:rPr>
        <w:t xml:space="preserve"> </w:t>
      </w:r>
      <w:r>
        <w:t>PRSI</w:t>
      </w:r>
      <w:r>
        <w:rPr>
          <w:spacing w:val="-4"/>
        </w:rPr>
        <w:t xml:space="preserve"> </w:t>
      </w:r>
      <w:r>
        <w:rPr>
          <w:spacing w:val="-2"/>
        </w:rPr>
        <w:t>Contribution</w:t>
      </w:r>
    </w:p>
    <w:p w14:paraId="4672A884" w14:textId="77777777" w:rsidR="00EC5049" w:rsidRDefault="00EC5049">
      <w:pPr>
        <w:pStyle w:val="BodyText"/>
        <w:spacing w:before="41"/>
        <w:ind w:left="0"/>
      </w:pPr>
    </w:p>
    <w:p w14:paraId="37B7A406" w14:textId="77777777" w:rsidR="00EC5049" w:rsidRDefault="00000000">
      <w:pPr>
        <w:pStyle w:val="BodyText"/>
        <w:spacing w:before="0" w:line="259" w:lineRule="auto"/>
        <w:ind w:left="100" w:right="1087"/>
      </w:pPr>
      <w:r>
        <w:t>Arising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exchequer-funded</w:t>
      </w:r>
      <w:r>
        <w:rPr>
          <w:spacing w:val="-3"/>
        </w:rPr>
        <w:t xml:space="preserve"> </w:t>
      </w:r>
      <w:r>
        <w:t>postdoctoral</w:t>
      </w:r>
      <w:r>
        <w:rPr>
          <w:spacing w:val="-7"/>
        </w:rPr>
        <w:t xml:space="preserve"> </w:t>
      </w:r>
      <w:r>
        <w:t>researchers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Single Public</w:t>
      </w:r>
      <w:r>
        <w:rPr>
          <w:spacing w:val="-1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Pension</w:t>
      </w:r>
      <w:r>
        <w:rPr>
          <w:spacing w:val="-1"/>
        </w:rPr>
        <w:t xml:space="preserve"> </w:t>
      </w:r>
      <w:r>
        <w:t>Scheme,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20% pension</w:t>
      </w:r>
      <w:r>
        <w:rPr>
          <w:spacing w:val="-2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feature of Irish Research Council postdoctoral awards no longer applies for </w:t>
      </w:r>
      <w:proofErr w:type="gramStart"/>
      <w:r>
        <w:t>the majority of</w:t>
      </w:r>
      <w:proofErr w:type="gramEnd"/>
      <w:r>
        <w:t xml:space="preserve"> researchers. For further information on pension eligibility, please refer to policies outlined by the host </w:t>
      </w:r>
      <w:proofErr w:type="spellStart"/>
      <w:r>
        <w:t>organisation</w:t>
      </w:r>
      <w:proofErr w:type="spellEnd"/>
      <w:r>
        <w:t>.</w:t>
      </w:r>
    </w:p>
    <w:p w14:paraId="1B1C4C61" w14:textId="77777777" w:rsidR="00EC5049" w:rsidRDefault="00EC5049">
      <w:pPr>
        <w:pStyle w:val="BodyText"/>
        <w:spacing w:before="21"/>
        <w:ind w:left="0"/>
      </w:pPr>
    </w:p>
    <w:p w14:paraId="27AAE2AE" w14:textId="77777777" w:rsidR="00EC5049" w:rsidRDefault="00000000">
      <w:pPr>
        <w:pStyle w:val="Heading1"/>
      </w:pPr>
      <w:r>
        <w:t>Eligible</w:t>
      </w:r>
      <w:r>
        <w:rPr>
          <w:spacing w:val="-6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rPr>
          <w:spacing w:val="-2"/>
        </w:rPr>
        <w:t>Costs:</w:t>
      </w:r>
    </w:p>
    <w:p w14:paraId="61C704F3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Minor</w:t>
      </w:r>
      <w:r>
        <w:rPr>
          <w:spacing w:val="-5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costing</w:t>
      </w:r>
      <w:r>
        <w:rPr>
          <w:spacing w:val="-5"/>
        </w:rPr>
        <w:t xml:space="preserve"> </w:t>
      </w:r>
      <w:r>
        <w:t>less</w:t>
      </w:r>
      <w:r>
        <w:rPr>
          <w:spacing w:val="-7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€10,000</w:t>
      </w:r>
      <w:r>
        <w:rPr>
          <w:spacing w:val="-4"/>
        </w:rPr>
        <w:t xml:space="preserve"> </w:t>
      </w:r>
      <w:r>
        <w:t>(total</w:t>
      </w:r>
      <w:r>
        <w:rPr>
          <w:spacing w:val="-7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2"/>
        </w:rPr>
        <w:t>years)</w:t>
      </w:r>
    </w:p>
    <w:p w14:paraId="2B15D304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Research</w:t>
      </w:r>
      <w:r>
        <w:rPr>
          <w:spacing w:val="-8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rPr>
          <w:spacing w:val="-2"/>
        </w:rPr>
        <w:t>(Consumables)</w:t>
      </w:r>
    </w:p>
    <w:p w14:paraId="7F4D1A24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spacing w:before="20"/>
        <w:ind w:left="259" w:hanging="159"/>
      </w:pPr>
      <w:r>
        <w:t>Conferences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workshops</w:t>
      </w:r>
    </w:p>
    <w:p w14:paraId="4BF0C12D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spacing w:before="21"/>
        <w:ind w:left="259" w:hanging="159"/>
      </w:pPr>
      <w:r>
        <w:rPr>
          <w:spacing w:val="-2"/>
        </w:rPr>
        <w:t>Travel</w:t>
      </w:r>
    </w:p>
    <w:p w14:paraId="6E2FBCFA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Books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journals</w:t>
      </w:r>
    </w:p>
    <w:p w14:paraId="3871B6A9" w14:textId="77777777" w:rsidR="00EC5049" w:rsidRDefault="00EC5049">
      <w:pPr>
        <w:pStyle w:val="BodyText"/>
        <w:spacing w:before="203"/>
        <w:ind w:left="0"/>
      </w:pPr>
    </w:p>
    <w:p w14:paraId="7D794456" w14:textId="77777777" w:rsidR="00EC5049" w:rsidRDefault="00000000">
      <w:pPr>
        <w:pStyle w:val="Heading1"/>
      </w:pPr>
      <w:r>
        <w:rPr>
          <w:spacing w:val="-2"/>
        </w:rPr>
        <w:t>Overheads:</w:t>
      </w:r>
    </w:p>
    <w:p w14:paraId="303F9A5E" w14:textId="77777777" w:rsidR="00EC5049" w:rsidRDefault="00000000">
      <w:pPr>
        <w:pStyle w:val="BodyText"/>
        <w:spacing w:before="180" w:line="259" w:lineRule="auto"/>
        <w:ind w:left="100" w:right="1150"/>
      </w:pPr>
      <w:r w:rsidRPr="00F602D2">
        <w:rPr>
          <w:b/>
          <w:bCs/>
        </w:rPr>
        <w:t>Will be set at a maximum of 20% of overall eligible direct costs (see above) less equipment</w:t>
      </w:r>
      <w:r>
        <w:t xml:space="preserve">. Overhead will offset institutional indirect costs including for example </w:t>
      </w:r>
      <w:proofErr w:type="gramStart"/>
      <w:r>
        <w:t>costs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proofErr w:type="gramEnd"/>
      <w:r>
        <w:rPr>
          <w:spacing w:val="-4"/>
        </w:rPr>
        <w:t xml:space="preserve"> </w:t>
      </w:r>
      <w:r>
        <w:t>heating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conditioning.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incurred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joint objectives and cannot be identified readily and specifically with a particular sponsored </w:t>
      </w:r>
      <w:proofErr w:type="spellStart"/>
      <w:r>
        <w:t>programme</w:t>
      </w:r>
      <w:proofErr w:type="spellEnd"/>
      <w:r>
        <w:t xml:space="preserve"> or project. Other examples include:</w:t>
      </w:r>
    </w:p>
    <w:p w14:paraId="1311DD32" w14:textId="77777777" w:rsidR="00EC5049" w:rsidRDefault="00EC5049">
      <w:pPr>
        <w:spacing w:line="259" w:lineRule="auto"/>
        <w:sectPr w:rsidR="00EC5049" w:rsidSect="0062487C">
          <w:type w:val="continuous"/>
          <w:pgSz w:w="11910" w:h="16840"/>
          <w:pgMar w:top="1380" w:right="1680" w:bottom="280" w:left="1340" w:header="720" w:footer="720" w:gutter="0"/>
          <w:cols w:space="720"/>
        </w:sectPr>
      </w:pPr>
    </w:p>
    <w:p w14:paraId="2F5F80DC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spacing w:before="41"/>
        <w:ind w:left="259" w:hanging="159"/>
      </w:pPr>
      <w:r>
        <w:lastRenderedPageBreak/>
        <w:t>General</w:t>
      </w:r>
      <w:r>
        <w:rPr>
          <w:spacing w:val="-5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7DDF4C83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Accounting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p w14:paraId="7A874090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General</w:t>
      </w:r>
      <w:r>
        <w:rPr>
          <w:spacing w:val="-8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p w14:paraId="31C4C1A2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spacing w:before="19"/>
        <w:ind w:left="259" w:hanging="159"/>
      </w:pPr>
      <w:r>
        <w:rPr>
          <w:spacing w:val="-2"/>
        </w:rPr>
        <w:t>Telecommunications</w:t>
      </w:r>
    </w:p>
    <w:p w14:paraId="64453E4A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Library</w:t>
      </w:r>
      <w:r>
        <w:rPr>
          <w:spacing w:val="-5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Services</w:t>
      </w:r>
    </w:p>
    <w:p w14:paraId="4F737FF0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Central</w:t>
      </w:r>
      <w:r>
        <w:rPr>
          <w:spacing w:val="-6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1CFFF8F9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Office</w:t>
      </w:r>
      <w:r>
        <w:rPr>
          <w:spacing w:val="-4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secretarial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22FF39AE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spacing w:before="19"/>
        <w:ind w:left="259" w:hanging="159"/>
      </w:pPr>
      <w:r>
        <w:t>Office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rPr>
          <w:spacing w:val="-2"/>
        </w:rPr>
        <w:t>space</w:t>
      </w:r>
    </w:p>
    <w:p w14:paraId="34549E28" w14:textId="77777777" w:rsidR="00EC5049" w:rsidRDefault="00000000">
      <w:pPr>
        <w:pStyle w:val="ListParagraph"/>
        <w:numPr>
          <w:ilvl w:val="0"/>
          <w:numId w:val="1"/>
        </w:numPr>
        <w:tabs>
          <w:tab w:val="left" w:pos="259"/>
        </w:tabs>
        <w:ind w:left="259" w:hanging="159"/>
      </w:pP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services</w:t>
      </w:r>
    </w:p>
    <w:p w14:paraId="2D44251F" w14:textId="77777777" w:rsidR="00EC5049" w:rsidRDefault="00EC5049">
      <w:pPr>
        <w:pStyle w:val="BodyText"/>
        <w:spacing w:before="202"/>
        <w:ind w:left="0"/>
      </w:pPr>
    </w:p>
    <w:p w14:paraId="2A50DFC5" w14:textId="77777777" w:rsidR="00EC5049" w:rsidRDefault="00000000">
      <w:pPr>
        <w:pStyle w:val="BodyText"/>
        <w:spacing w:before="0"/>
        <w:ind w:left="100"/>
      </w:pPr>
      <w:r>
        <w:t>Overhead</w:t>
      </w:r>
      <w:r>
        <w:rPr>
          <w:spacing w:val="-8"/>
        </w:rPr>
        <w:t xml:space="preserve"> </w:t>
      </w:r>
      <w:r>
        <w:t>expenditure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subject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auditing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monitoring.</w:t>
      </w:r>
    </w:p>
    <w:p w14:paraId="7BA5434F" w14:textId="77777777" w:rsidR="00EC5049" w:rsidRDefault="00EC5049">
      <w:pPr>
        <w:pStyle w:val="BodyText"/>
        <w:spacing w:before="0"/>
        <w:ind w:left="0"/>
      </w:pPr>
    </w:p>
    <w:p w14:paraId="0E141720" w14:textId="77777777" w:rsidR="00EC5049" w:rsidRDefault="00EC5049">
      <w:pPr>
        <w:pStyle w:val="BodyText"/>
        <w:spacing w:before="95"/>
        <w:ind w:left="0"/>
      </w:pPr>
    </w:p>
    <w:p w14:paraId="33C7EFFB" w14:textId="77777777" w:rsidR="00EC5049" w:rsidRDefault="00000000">
      <w:pPr>
        <w:ind w:left="100"/>
        <w:rPr>
          <w:b/>
        </w:rPr>
      </w:pPr>
      <w:r>
        <w:rPr>
          <w:b/>
          <w:spacing w:val="-4"/>
        </w:rPr>
        <w:t>ENDS</w:t>
      </w:r>
    </w:p>
    <w:sectPr w:rsidR="00EC5049">
      <w:pgSz w:w="11910" w:h="16840"/>
      <w:pgMar w:top="138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40B0E"/>
    <w:multiLevelType w:val="hybridMultilevel"/>
    <w:tmpl w:val="9D7E54D2"/>
    <w:lvl w:ilvl="0" w:tplc="7450BFA6">
      <w:numFmt w:val="bullet"/>
      <w:lvlText w:val="•"/>
      <w:lvlJc w:val="left"/>
      <w:pPr>
        <w:ind w:left="26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7D85274">
      <w:numFmt w:val="bullet"/>
      <w:lvlText w:val="•"/>
      <w:lvlJc w:val="left"/>
      <w:pPr>
        <w:ind w:left="1122" w:hanging="161"/>
      </w:pPr>
      <w:rPr>
        <w:rFonts w:hint="default"/>
        <w:lang w:val="en-US" w:eastAsia="en-US" w:bidi="ar-SA"/>
      </w:rPr>
    </w:lvl>
    <w:lvl w:ilvl="2" w:tplc="BE94C338">
      <w:numFmt w:val="bullet"/>
      <w:lvlText w:val="•"/>
      <w:lvlJc w:val="left"/>
      <w:pPr>
        <w:ind w:left="1985" w:hanging="161"/>
      </w:pPr>
      <w:rPr>
        <w:rFonts w:hint="default"/>
        <w:lang w:val="en-US" w:eastAsia="en-US" w:bidi="ar-SA"/>
      </w:rPr>
    </w:lvl>
    <w:lvl w:ilvl="3" w:tplc="C31467E2">
      <w:numFmt w:val="bullet"/>
      <w:lvlText w:val="•"/>
      <w:lvlJc w:val="left"/>
      <w:pPr>
        <w:ind w:left="2847" w:hanging="161"/>
      </w:pPr>
      <w:rPr>
        <w:rFonts w:hint="default"/>
        <w:lang w:val="en-US" w:eastAsia="en-US" w:bidi="ar-SA"/>
      </w:rPr>
    </w:lvl>
    <w:lvl w:ilvl="4" w:tplc="E8FEF204">
      <w:numFmt w:val="bullet"/>
      <w:lvlText w:val="•"/>
      <w:lvlJc w:val="left"/>
      <w:pPr>
        <w:ind w:left="3710" w:hanging="161"/>
      </w:pPr>
      <w:rPr>
        <w:rFonts w:hint="default"/>
        <w:lang w:val="en-US" w:eastAsia="en-US" w:bidi="ar-SA"/>
      </w:rPr>
    </w:lvl>
    <w:lvl w:ilvl="5" w:tplc="13389E60">
      <w:numFmt w:val="bullet"/>
      <w:lvlText w:val="•"/>
      <w:lvlJc w:val="left"/>
      <w:pPr>
        <w:ind w:left="4573" w:hanging="161"/>
      </w:pPr>
      <w:rPr>
        <w:rFonts w:hint="default"/>
        <w:lang w:val="en-US" w:eastAsia="en-US" w:bidi="ar-SA"/>
      </w:rPr>
    </w:lvl>
    <w:lvl w:ilvl="6" w:tplc="35C2B174">
      <w:numFmt w:val="bullet"/>
      <w:lvlText w:val="•"/>
      <w:lvlJc w:val="left"/>
      <w:pPr>
        <w:ind w:left="5435" w:hanging="161"/>
      </w:pPr>
      <w:rPr>
        <w:rFonts w:hint="default"/>
        <w:lang w:val="en-US" w:eastAsia="en-US" w:bidi="ar-SA"/>
      </w:rPr>
    </w:lvl>
    <w:lvl w:ilvl="7" w:tplc="3E5CA284">
      <w:numFmt w:val="bullet"/>
      <w:lvlText w:val="•"/>
      <w:lvlJc w:val="left"/>
      <w:pPr>
        <w:ind w:left="6298" w:hanging="161"/>
      </w:pPr>
      <w:rPr>
        <w:rFonts w:hint="default"/>
        <w:lang w:val="en-US" w:eastAsia="en-US" w:bidi="ar-SA"/>
      </w:rPr>
    </w:lvl>
    <w:lvl w:ilvl="8" w:tplc="43FEEB52">
      <w:numFmt w:val="bullet"/>
      <w:lvlText w:val="•"/>
      <w:lvlJc w:val="left"/>
      <w:pPr>
        <w:ind w:left="7161" w:hanging="161"/>
      </w:pPr>
      <w:rPr>
        <w:rFonts w:hint="default"/>
        <w:lang w:val="en-US" w:eastAsia="en-US" w:bidi="ar-SA"/>
      </w:rPr>
    </w:lvl>
  </w:abstractNum>
  <w:abstractNum w:abstractNumId="1" w15:restartNumberingAfterBreak="0">
    <w:nsid w:val="552B1C08"/>
    <w:multiLevelType w:val="hybridMultilevel"/>
    <w:tmpl w:val="44B417E4"/>
    <w:lvl w:ilvl="0" w:tplc="E578BD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21D0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A788A640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760626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FF062EB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5" w:tplc="D6D6858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6" w:tplc="F27E7D02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7" w:tplc="59F0E9CA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8" w:tplc="9BBAAFCE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</w:abstractNum>
  <w:num w:numId="1" w16cid:durableId="1497107131">
    <w:abstractNumId w:val="0"/>
  </w:num>
  <w:num w:numId="2" w16cid:durableId="158272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49"/>
    <w:rsid w:val="002317D7"/>
    <w:rsid w:val="0062487C"/>
    <w:rsid w:val="00710FB3"/>
    <w:rsid w:val="00EC5049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24951"/>
  <w15:docId w15:val="{95F251AF-4F66-437A-BE3F-46331DC2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59"/>
    </w:pPr>
  </w:style>
  <w:style w:type="paragraph" w:styleId="ListParagraph">
    <w:name w:val="List Paragraph"/>
    <w:basedOn w:val="Normal"/>
    <w:uiPriority w:val="1"/>
    <w:qFormat/>
    <w:pPr>
      <w:spacing w:before="22"/>
      <w:ind w:left="259" w:hanging="1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317D7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317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a.ie/for-researchers/researcher-salary-scales-career-framew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Sweeney</dc:creator>
  <cp:lastModifiedBy>Peter Hodson</cp:lastModifiedBy>
  <cp:revision>3</cp:revision>
  <dcterms:created xsi:type="dcterms:W3CDTF">2024-01-17T11:07:00Z</dcterms:created>
  <dcterms:modified xsi:type="dcterms:W3CDTF">2024-01-17T14:41:00Z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2024-01-17T00:00:00Z</vt:filetime>
  </property>
  <property fmtid="{D5CDD505-2E9C-101B-9397-08002B2CF9AE}" pid="5" name="Producer">
    <vt:lpwstr>Microsoft® Word for Microsoft 365</vt:lpwstr>
  </property>
</Properties>
</file>