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9FE04" w14:textId="77777777" w:rsidR="0068744B" w:rsidRPr="00F7735E" w:rsidRDefault="0068744B" w:rsidP="0068744B">
      <w:pPr>
        <w:spacing w:after="0" w:line="23" w:lineRule="atLeast"/>
        <w:contextualSpacing/>
        <w:jc w:val="center"/>
        <w:rPr>
          <w:rFonts w:asciiTheme="minorHAnsi" w:eastAsia="Arial Unicode MS" w:hAnsiTheme="minorHAnsi" w:cstheme="minorHAnsi"/>
          <w:b/>
          <w:lang w:eastAsia="en-GB"/>
        </w:rPr>
      </w:pPr>
      <w:r w:rsidRPr="00BE4A33">
        <w:rPr>
          <w:rFonts w:asciiTheme="minorHAnsi" w:eastAsia="Arial Unicode MS" w:hAnsiTheme="minorHAnsi" w:cstheme="minorHAnsi"/>
          <w:b/>
          <w:sz w:val="26"/>
          <w:szCs w:val="26"/>
          <w:lang w:eastAsia="en-GB"/>
        </w:rPr>
        <w:t>Irish Research Council No-Cost Extension Policy</w:t>
      </w:r>
    </w:p>
    <w:p w14:paraId="0772B9BF" w14:textId="77777777" w:rsidR="0068744B" w:rsidRPr="00F7735E" w:rsidRDefault="0068744B" w:rsidP="0068744B">
      <w:pPr>
        <w:spacing w:after="0" w:line="23" w:lineRule="atLeast"/>
        <w:contextualSpacing/>
        <w:rPr>
          <w:rFonts w:asciiTheme="minorHAnsi" w:eastAsia="Arial Unicode MS" w:hAnsiTheme="minorHAnsi" w:cstheme="minorHAnsi"/>
          <w:b/>
          <w:lang w:eastAsia="en-GB"/>
        </w:rPr>
      </w:pPr>
    </w:p>
    <w:p w14:paraId="574C8324" w14:textId="77777777" w:rsidR="0068744B" w:rsidRPr="00BE4A33" w:rsidRDefault="0068744B" w:rsidP="0068744B">
      <w:pPr>
        <w:spacing w:after="0" w:line="259" w:lineRule="auto"/>
        <w:jc w:val="both"/>
        <w:rPr>
          <w:u w:val="single"/>
        </w:rPr>
      </w:pPr>
      <w:r w:rsidRPr="00BE4A33">
        <w:rPr>
          <w:u w:val="single"/>
        </w:rPr>
        <w:t>What is a no-cost extension and when can it be facilitated?</w:t>
      </w:r>
    </w:p>
    <w:p w14:paraId="2D4FE31B" w14:textId="2756AA80" w:rsidR="0068744B" w:rsidRPr="00BE4A33" w:rsidRDefault="0068744B" w:rsidP="0068744B">
      <w:pPr>
        <w:spacing w:after="160" w:line="259" w:lineRule="auto"/>
        <w:jc w:val="both"/>
      </w:pPr>
      <w:r w:rsidRPr="00BE4A33">
        <w:t xml:space="preserve">A no-cost extension occurs when the duration of an award is extended beyond </w:t>
      </w:r>
      <w:r>
        <w:t>its</w:t>
      </w:r>
      <w:r w:rsidRPr="00BE4A33">
        <w:t xml:space="preserve"> original End Date without any additional funds being granted. It is the Irish Research Council’s (</w:t>
      </w:r>
      <w:r w:rsidR="001F4974">
        <w:t>the IRC’s</w:t>
      </w:r>
      <w:r w:rsidRPr="00BE4A33">
        <w:t>) policy to facilitate such an extension to a grant in the following cases:</w:t>
      </w:r>
    </w:p>
    <w:p w14:paraId="6CC85347" w14:textId="77777777" w:rsidR="0068744B" w:rsidRPr="00E41156" w:rsidRDefault="0068744B" w:rsidP="0068744B">
      <w:pPr>
        <w:numPr>
          <w:ilvl w:val="0"/>
          <w:numId w:val="1"/>
        </w:numPr>
        <w:spacing w:after="160" w:line="259" w:lineRule="auto"/>
        <w:contextualSpacing/>
        <w:jc w:val="both"/>
        <w:rPr>
          <w:b/>
        </w:rPr>
      </w:pPr>
      <w:r w:rsidRPr="00E41156">
        <w:rPr>
          <w:b/>
        </w:rPr>
        <w:t>Eligible direct research costs</w:t>
      </w:r>
    </w:p>
    <w:p w14:paraId="5C2FCE24" w14:textId="77777777" w:rsidR="0068744B" w:rsidRPr="00BE4A33" w:rsidRDefault="0068744B" w:rsidP="0068744B">
      <w:pPr>
        <w:spacing w:after="160" w:line="259" w:lineRule="auto"/>
        <w:jc w:val="both"/>
      </w:pPr>
      <w:r w:rsidRPr="00BE4A33">
        <w:t>Postgraduate and postdoctoral awardees may apply for a no-cost extension of their award</w:t>
      </w:r>
      <w:r>
        <w:t>s,</w:t>
      </w:r>
      <w:r w:rsidRPr="00BE4A33">
        <w:t xml:space="preserve"> if they have not spent their </w:t>
      </w:r>
      <w:r>
        <w:t xml:space="preserve">total eligible </w:t>
      </w:r>
      <w:r w:rsidRPr="00BE4A33">
        <w:t xml:space="preserve">research expenses by the time of the original End Date of the award and can justify that the use of the remaining </w:t>
      </w:r>
      <w:r>
        <w:t>funds</w:t>
      </w:r>
      <w:r w:rsidRPr="00BE4A33">
        <w:t xml:space="preserve"> beyond the original End Date is necessary </w:t>
      </w:r>
      <w:r>
        <w:t xml:space="preserve">or beneficial </w:t>
      </w:r>
      <w:r w:rsidRPr="00BE4A33">
        <w:t xml:space="preserve">to the completion of the project. </w:t>
      </w:r>
    </w:p>
    <w:p w14:paraId="310424F4" w14:textId="77777777" w:rsidR="0068744B" w:rsidRPr="00E41156" w:rsidRDefault="0068744B" w:rsidP="0068744B">
      <w:pPr>
        <w:numPr>
          <w:ilvl w:val="0"/>
          <w:numId w:val="1"/>
        </w:numPr>
        <w:spacing w:after="160" w:line="259" w:lineRule="auto"/>
        <w:contextualSpacing/>
        <w:jc w:val="both"/>
        <w:rPr>
          <w:b/>
        </w:rPr>
      </w:pPr>
      <w:r w:rsidRPr="00E41156">
        <w:rPr>
          <w:b/>
        </w:rPr>
        <w:t>No-cost extension of Principal Investigator-led projects</w:t>
      </w:r>
    </w:p>
    <w:p w14:paraId="070A715F" w14:textId="14C3401A" w:rsidR="0068744B" w:rsidRDefault="0068744B" w:rsidP="0068744B">
      <w:pPr>
        <w:spacing w:after="160" w:line="259" w:lineRule="auto"/>
        <w:jc w:val="both"/>
      </w:pPr>
      <w:r w:rsidRPr="00BE4A33">
        <w:t xml:space="preserve">The </w:t>
      </w:r>
      <w:r w:rsidR="00E41BBB">
        <w:t xml:space="preserve">IRC </w:t>
      </w:r>
      <w:r w:rsidRPr="00BE4A33">
        <w:t xml:space="preserve">may agree to the extension of a PI-led grant where it is </w:t>
      </w:r>
      <w:r>
        <w:t>demonstrated</w:t>
      </w:r>
      <w:r w:rsidRPr="00BE4A33">
        <w:t xml:space="preserve"> that such will ensure the completion of the funded project </w:t>
      </w:r>
      <w:r>
        <w:t>in line with</w:t>
      </w:r>
      <w:r w:rsidRPr="00BE4A33">
        <w:t xml:space="preserve"> the agreed objectives and deliverables </w:t>
      </w:r>
      <w:r>
        <w:t>of</w:t>
      </w:r>
      <w:r w:rsidRPr="00BE4A33">
        <w:t xml:space="preserve"> that project.</w:t>
      </w:r>
    </w:p>
    <w:p w14:paraId="36ABFCFD" w14:textId="77777777" w:rsidR="0068744B" w:rsidRPr="00ED7925" w:rsidRDefault="0068744B" w:rsidP="0068744B">
      <w:pPr>
        <w:spacing w:after="160" w:line="259" w:lineRule="auto"/>
        <w:jc w:val="both"/>
      </w:pPr>
    </w:p>
    <w:p w14:paraId="7F154794" w14:textId="77777777" w:rsidR="0068744B" w:rsidRPr="00BE4A33" w:rsidRDefault="0068744B" w:rsidP="0068744B">
      <w:pPr>
        <w:spacing w:after="0" w:line="259" w:lineRule="auto"/>
        <w:jc w:val="both"/>
        <w:rPr>
          <w:u w:val="single"/>
        </w:rPr>
      </w:pPr>
      <w:r w:rsidRPr="00BE4A33">
        <w:rPr>
          <w:u w:val="single"/>
        </w:rPr>
        <w:t>Conditions for no-cost extensions to be granted</w:t>
      </w:r>
    </w:p>
    <w:p w14:paraId="6E67F884" w14:textId="112FF6A2" w:rsidR="0068744B" w:rsidRDefault="0068744B" w:rsidP="0068744B">
      <w:pPr>
        <w:numPr>
          <w:ilvl w:val="0"/>
          <w:numId w:val="2"/>
        </w:numPr>
        <w:spacing w:after="160" w:line="259" w:lineRule="auto"/>
        <w:contextualSpacing/>
        <w:jc w:val="both"/>
      </w:pPr>
      <w:r>
        <w:t xml:space="preserve">Where a no-cost extension and a </w:t>
      </w:r>
      <w:r w:rsidRPr="00D475BF">
        <w:rPr>
          <w:b/>
          <w:bCs/>
        </w:rPr>
        <w:t>budget reallocation</w:t>
      </w:r>
      <w:r w:rsidR="00290903">
        <w:rPr>
          <w:rStyle w:val="FootnoteReference"/>
          <w:b/>
          <w:bCs/>
        </w:rPr>
        <w:footnoteReference w:id="1"/>
      </w:r>
      <w:r w:rsidRPr="00D475BF">
        <w:rPr>
          <w:b/>
          <w:bCs/>
        </w:rPr>
        <w:t xml:space="preserve"> </w:t>
      </w:r>
      <w:r>
        <w:t>are sought, this request form may be completed to seek approval of both.</w:t>
      </w:r>
    </w:p>
    <w:p w14:paraId="25B5D49E" w14:textId="77777777" w:rsidR="0068744B" w:rsidRDefault="0068744B" w:rsidP="0068744B">
      <w:pPr>
        <w:spacing w:after="160" w:line="259" w:lineRule="auto"/>
        <w:ind w:left="360"/>
        <w:contextualSpacing/>
        <w:jc w:val="both"/>
      </w:pPr>
    </w:p>
    <w:p w14:paraId="4BAA8432" w14:textId="281E4A84" w:rsidR="0068744B" w:rsidRPr="005A7A3D" w:rsidRDefault="0068744B" w:rsidP="0068744B">
      <w:pPr>
        <w:numPr>
          <w:ilvl w:val="0"/>
          <w:numId w:val="2"/>
        </w:numPr>
        <w:spacing w:after="160" w:line="259" w:lineRule="auto"/>
        <w:contextualSpacing/>
        <w:jc w:val="both"/>
      </w:pPr>
      <w:r w:rsidRPr="006931D8">
        <w:t xml:space="preserve">No-cost extensions may be granted for </w:t>
      </w:r>
      <w:r w:rsidRPr="006931D8">
        <w:rPr>
          <w:b/>
          <w:bCs/>
        </w:rPr>
        <w:t>a total period of up to 12 months</w:t>
      </w:r>
      <w:r w:rsidRPr="006931D8">
        <w:t xml:space="preserve"> for all awards with a duration of over 12 months.</w:t>
      </w:r>
      <w:r>
        <w:t xml:space="preserve"> </w:t>
      </w:r>
      <w:r w:rsidRPr="006931D8">
        <w:t xml:space="preserve">In the case of awards of 12 months or less, no-cost extensions may be granted for a </w:t>
      </w:r>
      <w:r w:rsidRPr="006931D8">
        <w:rPr>
          <w:b/>
          <w:bCs/>
        </w:rPr>
        <w:t xml:space="preserve">total period of up to 6 months. </w:t>
      </w:r>
      <w:r w:rsidRPr="005A7A3D">
        <w:t>However</w:t>
      </w:r>
      <w:r>
        <w:rPr>
          <w:b/>
          <w:bCs/>
        </w:rPr>
        <w:t xml:space="preserve">, the duration of an NCE will be granted at the </w:t>
      </w:r>
      <w:r w:rsidR="00E41BBB">
        <w:rPr>
          <w:b/>
          <w:bCs/>
        </w:rPr>
        <w:t>IRC</w:t>
      </w:r>
      <w:r>
        <w:rPr>
          <w:b/>
          <w:bCs/>
        </w:rPr>
        <w:t xml:space="preserve">’s discretion, </w:t>
      </w:r>
      <w:r w:rsidRPr="005A7A3D">
        <w:t>on a case-by-case basis.</w:t>
      </w:r>
    </w:p>
    <w:p w14:paraId="679E40FD" w14:textId="77777777" w:rsidR="0068744B" w:rsidRDefault="0068744B" w:rsidP="0068744B">
      <w:pPr>
        <w:spacing w:after="160" w:line="259" w:lineRule="auto"/>
        <w:ind w:left="360"/>
        <w:contextualSpacing/>
        <w:jc w:val="both"/>
      </w:pPr>
    </w:p>
    <w:p w14:paraId="3D30070C" w14:textId="77777777" w:rsidR="0068744B" w:rsidRPr="006931D8" w:rsidRDefault="0068744B" w:rsidP="0068744B">
      <w:pPr>
        <w:numPr>
          <w:ilvl w:val="0"/>
          <w:numId w:val="2"/>
        </w:numPr>
        <w:spacing w:after="160" w:line="259" w:lineRule="auto"/>
        <w:contextualSpacing/>
        <w:jc w:val="both"/>
      </w:pPr>
      <w:r w:rsidRPr="0098470D">
        <w:t xml:space="preserve">No-cost extensions of eligible direct research costs </w:t>
      </w:r>
      <w:r>
        <w:t xml:space="preserve">may not affect the </w:t>
      </w:r>
      <w:r w:rsidRPr="00901C6A">
        <w:rPr>
          <w:b/>
          <w:bCs/>
        </w:rPr>
        <w:t>final report due date</w:t>
      </w:r>
      <w:r w:rsidRPr="00221AD2">
        <w:t>; in such circumstances,</w:t>
      </w:r>
      <w:r>
        <w:t xml:space="preserve"> the </w:t>
      </w:r>
      <w:r w:rsidRPr="00221AD2">
        <w:rPr>
          <w:b/>
          <w:bCs/>
        </w:rPr>
        <w:t>financial report due date</w:t>
      </w:r>
      <w:r>
        <w:t xml:space="preserve"> will be amended to reflect the extension.</w:t>
      </w:r>
    </w:p>
    <w:p w14:paraId="768B28BA" w14:textId="77777777" w:rsidR="0068744B" w:rsidRPr="006931D8" w:rsidRDefault="0068744B" w:rsidP="0068744B">
      <w:pPr>
        <w:spacing w:after="160" w:line="259" w:lineRule="auto"/>
        <w:ind w:left="360"/>
        <w:contextualSpacing/>
        <w:jc w:val="both"/>
      </w:pPr>
    </w:p>
    <w:p w14:paraId="53A671D0" w14:textId="41B501FB" w:rsidR="0068744B" w:rsidRDefault="0068744B" w:rsidP="0068744B">
      <w:pPr>
        <w:numPr>
          <w:ilvl w:val="0"/>
          <w:numId w:val="2"/>
        </w:numPr>
        <w:spacing w:after="160" w:line="259" w:lineRule="auto"/>
        <w:contextualSpacing/>
        <w:jc w:val="both"/>
      </w:pPr>
      <w:r>
        <w:t>Please note that t</w:t>
      </w:r>
      <w:r w:rsidRPr="00BE4A33">
        <w:t>hese time limits do not apply in cases of parental/maternity leave, adoptive leave, carer’s leave and prolonged sick leave</w:t>
      </w:r>
      <w:r>
        <w:t xml:space="preserve">. For these, please refer to the </w:t>
      </w:r>
      <w:r w:rsidR="00E03E3E">
        <w:t xml:space="preserve">forthcoming </w:t>
      </w:r>
      <w:r>
        <w:t>p</w:t>
      </w:r>
      <w:r w:rsidRPr="00F86788">
        <w:t>olicy on Leave for Parents</w:t>
      </w:r>
      <w:r>
        <w:t xml:space="preserve"> and the suspension of awards policy and associated forms. </w:t>
      </w:r>
    </w:p>
    <w:p w14:paraId="33691759" w14:textId="77777777" w:rsidR="0068744B" w:rsidRDefault="0068744B" w:rsidP="0068744B">
      <w:pPr>
        <w:spacing w:after="160" w:line="259" w:lineRule="auto"/>
        <w:ind w:left="360"/>
        <w:contextualSpacing/>
        <w:jc w:val="both"/>
      </w:pPr>
    </w:p>
    <w:p w14:paraId="61B1828D" w14:textId="77777777" w:rsidR="0068744B" w:rsidRDefault="0068744B" w:rsidP="0068744B">
      <w:pPr>
        <w:numPr>
          <w:ilvl w:val="0"/>
          <w:numId w:val="2"/>
        </w:numPr>
        <w:spacing w:after="160" w:line="259" w:lineRule="auto"/>
        <w:contextualSpacing/>
        <w:jc w:val="both"/>
      </w:pPr>
      <w:r>
        <w:t>Awardees who have extended the end date of their award due to an eligible career break or suspension (</w:t>
      </w:r>
      <w:r w:rsidRPr="00B25A55">
        <w:t>parental/maternity leave, adoptive leave, carer’s leave</w:t>
      </w:r>
      <w:r>
        <w:t xml:space="preserve">, </w:t>
      </w:r>
      <w:r w:rsidRPr="00B25A55">
        <w:t>prolonged sick leave</w:t>
      </w:r>
      <w:r>
        <w:t xml:space="preserve"> and internships) may also avail of a no-cost extension as it relates to their awards, regardless of the length of their leave. </w:t>
      </w:r>
    </w:p>
    <w:p w14:paraId="71EA5787" w14:textId="77777777" w:rsidR="0068744B" w:rsidRPr="00BE4A33" w:rsidRDefault="0068744B" w:rsidP="0068744B">
      <w:pPr>
        <w:spacing w:after="160" w:line="259" w:lineRule="auto"/>
        <w:contextualSpacing/>
        <w:jc w:val="both"/>
      </w:pPr>
    </w:p>
    <w:p w14:paraId="462CBCFF" w14:textId="77777777" w:rsidR="0068744B" w:rsidRPr="00BE4A33" w:rsidRDefault="0068744B" w:rsidP="0068744B">
      <w:pPr>
        <w:numPr>
          <w:ilvl w:val="0"/>
          <w:numId w:val="2"/>
        </w:numPr>
        <w:spacing w:after="160" w:line="259" w:lineRule="auto"/>
        <w:contextualSpacing/>
        <w:jc w:val="both"/>
      </w:pPr>
      <w:r w:rsidRPr="00BE4A33">
        <w:lastRenderedPageBreak/>
        <w:t xml:space="preserve">A request for a no-cost extension must be made by the award holder on the appropriate form </w:t>
      </w:r>
      <w:r w:rsidRPr="00BE4A33">
        <w:rPr>
          <w:b/>
          <w:bCs/>
        </w:rPr>
        <w:t>no less than 2 months</w:t>
      </w:r>
      <w:r w:rsidRPr="00BE4A33">
        <w:t xml:space="preserve"> before the original End Date of the award, and ahead of the extension taking place.</w:t>
      </w:r>
    </w:p>
    <w:p w14:paraId="3D5B4C4B" w14:textId="77777777" w:rsidR="0068744B" w:rsidRPr="00BE4A33" w:rsidRDefault="0068744B" w:rsidP="0068744B">
      <w:pPr>
        <w:spacing w:after="160" w:line="259" w:lineRule="auto"/>
        <w:ind w:left="720"/>
        <w:contextualSpacing/>
        <w:jc w:val="both"/>
      </w:pPr>
    </w:p>
    <w:p w14:paraId="728AA1EC" w14:textId="51C3E069" w:rsidR="0068744B" w:rsidRDefault="0068744B" w:rsidP="0068744B">
      <w:pPr>
        <w:numPr>
          <w:ilvl w:val="0"/>
          <w:numId w:val="2"/>
        </w:numPr>
        <w:spacing w:after="0" w:line="259" w:lineRule="auto"/>
        <w:contextualSpacing/>
        <w:jc w:val="both"/>
      </w:pPr>
      <w:r w:rsidRPr="00BE4A33">
        <w:t xml:space="preserve">No-cost extensions of eligible direct research costs and of PI-led projects </w:t>
      </w:r>
      <w:r w:rsidRPr="00BE4A33">
        <w:rPr>
          <w:b/>
          <w:bCs/>
        </w:rPr>
        <w:t>must be justified</w:t>
      </w:r>
      <w:r w:rsidRPr="00BE4A33">
        <w:t xml:space="preserve"> by the award holder, who must </w:t>
      </w:r>
      <w:r>
        <w:t>demonstrate to</w:t>
      </w:r>
      <w:r w:rsidRPr="00BE4A33">
        <w:t xml:space="preserve"> the </w:t>
      </w:r>
      <w:r w:rsidR="00E41BBB">
        <w:t>IRC</w:t>
      </w:r>
      <w:r w:rsidRPr="00BE4A33">
        <w:t xml:space="preserve"> </w:t>
      </w:r>
      <w:r>
        <w:t>why</w:t>
      </w:r>
      <w:r w:rsidRPr="00BE4A33">
        <w:t xml:space="preserve"> it is required to ensure completion of the previously agreed project within the funds already available.</w:t>
      </w:r>
      <w:r>
        <w:t xml:space="preserve"> As noted above, the final decision on the duration of the NCE will be made at the </w:t>
      </w:r>
      <w:r w:rsidR="00E41BBB">
        <w:t>IRC</w:t>
      </w:r>
      <w:r>
        <w:t>’s discretion.</w:t>
      </w:r>
    </w:p>
    <w:p w14:paraId="4B72E247" w14:textId="77777777" w:rsidR="0068744B" w:rsidRDefault="0068744B" w:rsidP="0068744B">
      <w:pPr>
        <w:spacing w:after="160" w:line="259" w:lineRule="auto"/>
        <w:ind w:left="360"/>
        <w:contextualSpacing/>
        <w:jc w:val="both"/>
      </w:pPr>
    </w:p>
    <w:p w14:paraId="115FAE43" w14:textId="77777777" w:rsidR="0068744B" w:rsidRPr="006931D8" w:rsidRDefault="0068744B" w:rsidP="0068744B">
      <w:pPr>
        <w:numPr>
          <w:ilvl w:val="0"/>
          <w:numId w:val="2"/>
        </w:numPr>
        <w:spacing w:after="160" w:line="259" w:lineRule="auto"/>
        <w:contextualSpacing/>
        <w:jc w:val="both"/>
      </w:pPr>
      <w:r w:rsidRPr="006931D8">
        <w:t>Please note that not all schemes allow No-Cost Extensions. Terms and Conditions and grant agreements may be prescriptive in some cases</w:t>
      </w:r>
      <w:r>
        <w:t>,</w:t>
      </w:r>
      <w:r w:rsidRPr="006931D8">
        <w:t xml:space="preserve"> and these should be consulted in the first instance. </w:t>
      </w:r>
      <w:r w:rsidRPr="006B14B7">
        <w:rPr>
          <w:b/>
          <w:bCs/>
        </w:rPr>
        <w:t>Where a contradiction exists between the present policy and Terms and Conditions, the Terms and Conditions (for the year the awardee applied to the scheme) take precedence.</w:t>
      </w:r>
      <w:r w:rsidRPr="006931D8">
        <w:t xml:space="preserve"> </w:t>
      </w:r>
    </w:p>
    <w:p w14:paraId="1EAD0C78" w14:textId="77777777" w:rsidR="0068744B" w:rsidRPr="00BE4A33" w:rsidRDefault="0068744B" w:rsidP="0068744B">
      <w:pPr>
        <w:spacing w:after="160" w:line="259" w:lineRule="auto"/>
        <w:jc w:val="both"/>
        <w:rPr>
          <w:u w:val="single"/>
        </w:rPr>
      </w:pPr>
    </w:p>
    <w:p w14:paraId="6FC4200C" w14:textId="77777777" w:rsidR="0068744B" w:rsidRPr="00BE4A33" w:rsidRDefault="0068744B" w:rsidP="0068744B">
      <w:pPr>
        <w:spacing w:after="0" w:line="259" w:lineRule="auto"/>
        <w:jc w:val="both"/>
        <w:rPr>
          <w:u w:val="single"/>
        </w:rPr>
      </w:pPr>
      <w:r w:rsidRPr="00BE4A33">
        <w:rPr>
          <w:u w:val="single"/>
        </w:rPr>
        <w:t>No-cost extension process</w:t>
      </w:r>
    </w:p>
    <w:p w14:paraId="520E5F00" w14:textId="2A56236D" w:rsidR="0068744B" w:rsidRPr="00BE4A33" w:rsidRDefault="0068744B" w:rsidP="0068744B">
      <w:pPr>
        <w:numPr>
          <w:ilvl w:val="0"/>
          <w:numId w:val="3"/>
        </w:numPr>
        <w:spacing w:after="160" w:line="259" w:lineRule="auto"/>
        <w:contextualSpacing/>
        <w:jc w:val="both"/>
        <w:rPr>
          <w:u w:val="single"/>
        </w:rPr>
      </w:pPr>
      <w:r w:rsidRPr="00BE4A33">
        <w:t>The award holder must complete the No-Cost extension form, including:</w:t>
      </w:r>
    </w:p>
    <w:p w14:paraId="0C5F598C" w14:textId="77777777" w:rsidR="0068744B" w:rsidRPr="00BE4A33" w:rsidRDefault="0068744B" w:rsidP="0068744B">
      <w:pPr>
        <w:numPr>
          <w:ilvl w:val="0"/>
          <w:numId w:val="4"/>
        </w:numPr>
        <w:spacing w:after="160" w:line="259" w:lineRule="auto"/>
        <w:contextualSpacing/>
        <w:jc w:val="both"/>
      </w:pPr>
      <w:r w:rsidRPr="00BE4A33">
        <w:t xml:space="preserve">The </w:t>
      </w:r>
      <w:r w:rsidRPr="00BE4A33">
        <w:rPr>
          <w:b/>
          <w:bCs/>
        </w:rPr>
        <w:t>new End Date</w:t>
      </w:r>
      <w:r w:rsidRPr="00BE4A33">
        <w:t xml:space="preserve"> of the award;</w:t>
      </w:r>
    </w:p>
    <w:p w14:paraId="40FAFB78" w14:textId="77777777" w:rsidR="0068744B" w:rsidRPr="00BE4A33" w:rsidRDefault="0068744B" w:rsidP="0068744B">
      <w:pPr>
        <w:numPr>
          <w:ilvl w:val="0"/>
          <w:numId w:val="4"/>
        </w:numPr>
        <w:spacing w:after="160" w:line="259" w:lineRule="auto"/>
        <w:contextualSpacing/>
        <w:jc w:val="both"/>
        <w:rPr>
          <w:u w:val="single"/>
        </w:rPr>
      </w:pPr>
      <w:r w:rsidRPr="00BE4A33">
        <w:t xml:space="preserve">The </w:t>
      </w:r>
      <w:r>
        <w:rPr>
          <w:b/>
          <w:bCs/>
        </w:rPr>
        <w:t>rationale</w:t>
      </w:r>
      <w:r w:rsidRPr="00BE4A33">
        <w:t xml:space="preserve"> for the proposed no-cost extension;</w:t>
      </w:r>
    </w:p>
    <w:p w14:paraId="778DF97D" w14:textId="77777777" w:rsidR="0068744B" w:rsidRPr="00BE4A33" w:rsidRDefault="0068744B" w:rsidP="0068744B">
      <w:pPr>
        <w:numPr>
          <w:ilvl w:val="0"/>
          <w:numId w:val="4"/>
        </w:numPr>
        <w:spacing w:after="160" w:line="259" w:lineRule="auto"/>
        <w:contextualSpacing/>
        <w:jc w:val="both"/>
      </w:pPr>
      <w:r w:rsidRPr="00BE4A33">
        <w:t>Where changes to animal licences, ethics or any other approvals are involved as a result of the no-cost extension, details should be provided on the form;</w:t>
      </w:r>
    </w:p>
    <w:p w14:paraId="1CA93AE1" w14:textId="224F8B22" w:rsidR="0068744B" w:rsidRPr="00BE4A33" w:rsidRDefault="0068744B" w:rsidP="0068744B">
      <w:pPr>
        <w:numPr>
          <w:ilvl w:val="0"/>
          <w:numId w:val="4"/>
        </w:numPr>
        <w:spacing w:after="160" w:line="259" w:lineRule="auto"/>
        <w:contextualSpacing/>
        <w:jc w:val="both"/>
      </w:pPr>
      <w:r w:rsidRPr="00BE4A33">
        <w:t xml:space="preserve">Detail of any associated </w:t>
      </w:r>
      <w:r w:rsidRPr="00BE4A33">
        <w:rPr>
          <w:b/>
          <w:bCs/>
        </w:rPr>
        <w:t>budget reallocation(s)</w:t>
      </w:r>
      <w:r w:rsidR="00290903">
        <w:rPr>
          <w:rStyle w:val="FootnoteReference"/>
          <w:b/>
          <w:bCs/>
        </w:rPr>
        <w:footnoteReference w:id="2"/>
      </w:r>
      <w:r w:rsidRPr="00BE4A33">
        <w:t>, if applicable;</w:t>
      </w:r>
    </w:p>
    <w:p w14:paraId="234496FE" w14:textId="77777777" w:rsidR="0068744B" w:rsidRPr="00BE4A33" w:rsidRDefault="0068744B" w:rsidP="0068744B">
      <w:pPr>
        <w:numPr>
          <w:ilvl w:val="0"/>
          <w:numId w:val="4"/>
        </w:numPr>
        <w:spacing w:after="160" w:line="259" w:lineRule="auto"/>
        <w:contextualSpacing/>
        <w:jc w:val="both"/>
      </w:pPr>
      <w:r>
        <w:t>A current financial statement, and t</w:t>
      </w:r>
      <w:r w:rsidRPr="00BE4A33">
        <w:t xml:space="preserve">he </w:t>
      </w:r>
      <w:r w:rsidRPr="00BE4A33">
        <w:rPr>
          <w:b/>
          <w:bCs/>
        </w:rPr>
        <w:t>new project budget</w:t>
      </w:r>
      <w:r w:rsidRPr="00BE4A33">
        <w:t>, if applicable.</w:t>
      </w:r>
    </w:p>
    <w:p w14:paraId="19614C2B" w14:textId="77777777" w:rsidR="0068744B" w:rsidRPr="00BE4A33" w:rsidRDefault="0068744B" w:rsidP="0068744B">
      <w:pPr>
        <w:spacing w:after="160" w:line="259" w:lineRule="auto"/>
        <w:ind w:left="1494"/>
        <w:contextualSpacing/>
        <w:jc w:val="both"/>
      </w:pPr>
    </w:p>
    <w:p w14:paraId="2A363DD7" w14:textId="7DEF2F2D" w:rsidR="00777C94" w:rsidRDefault="0068744B" w:rsidP="00777C94">
      <w:pPr>
        <w:numPr>
          <w:ilvl w:val="0"/>
          <w:numId w:val="3"/>
        </w:numPr>
        <w:spacing w:after="160" w:line="259" w:lineRule="auto"/>
        <w:contextualSpacing/>
        <w:jc w:val="both"/>
      </w:pPr>
      <w:r w:rsidRPr="00BE4A33">
        <w:t xml:space="preserve">The form(s) must be signed by </w:t>
      </w:r>
      <w:r>
        <w:t xml:space="preserve">both </w:t>
      </w:r>
      <w:r w:rsidRPr="00BE4A33">
        <w:t xml:space="preserve">the Host Institution’s Research </w:t>
      </w:r>
      <w:r>
        <w:t xml:space="preserve">Office and </w:t>
      </w:r>
      <w:r w:rsidRPr="00BE4A33">
        <w:t>Finance</w:t>
      </w:r>
      <w:r>
        <w:t xml:space="preserve"> Office. It should also be signed</w:t>
      </w:r>
      <w:r w:rsidRPr="0064490D">
        <w:t xml:space="preserve"> by the awardee’s Academic Supervisor/Mentor, Enterprise/Employment Mentor, and Strategic Funding Partner, if applicable.</w:t>
      </w:r>
      <w:r>
        <w:t xml:space="preserve"> </w:t>
      </w:r>
    </w:p>
    <w:p w14:paraId="5BF1DBE4" w14:textId="77777777" w:rsidR="00777C94" w:rsidRDefault="00777C94" w:rsidP="00777C94">
      <w:pPr>
        <w:spacing w:after="160" w:line="259" w:lineRule="auto"/>
        <w:ind w:left="360"/>
        <w:contextualSpacing/>
        <w:jc w:val="both"/>
      </w:pPr>
    </w:p>
    <w:p w14:paraId="2B842CBD" w14:textId="64118029" w:rsidR="0068744B" w:rsidRPr="00777C94" w:rsidRDefault="0068744B" w:rsidP="00777C94">
      <w:pPr>
        <w:numPr>
          <w:ilvl w:val="0"/>
          <w:numId w:val="3"/>
        </w:numPr>
        <w:spacing w:after="160" w:line="259" w:lineRule="auto"/>
        <w:contextualSpacing/>
        <w:jc w:val="both"/>
      </w:pPr>
      <w:r w:rsidRPr="00BE4A33">
        <w:t xml:space="preserve">The completed and signed form(s) must be returned to the relevant </w:t>
      </w:r>
      <w:r w:rsidR="00CB1739">
        <w:t>IRC</w:t>
      </w:r>
      <w:r w:rsidRPr="00BE4A33">
        <w:t xml:space="preserve"> </w:t>
      </w:r>
      <w:r>
        <w:t>P</w:t>
      </w:r>
      <w:r w:rsidRPr="00BE4A33">
        <w:t xml:space="preserve">rogramme </w:t>
      </w:r>
      <w:r>
        <w:t>M</w:t>
      </w:r>
      <w:r w:rsidRPr="00BE4A33">
        <w:t>anager/</w:t>
      </w:r>
      <w:r>
        <w:t>R</w:t>
      </w:r>
      <w:r w:rsidRPr="00BE4A33">
        <w:t xml:space="preserve">esearch </w:t>
      </w:r>
      <w:r>
        <w:t>S</w:t>
      </w:r>
      <w:r w:rsidRPr="00BE4A33">
        <w:t xml:space="preserve">upport </w:t>
      </w:r>
      <w:r>
        <w:t>O</w:t>
      </w:r>
      <w:r w:rsidRPr="00BE4A33">
        <w:t>fficer associated with the grant</w:t>
      </w:r>
      <w:r w:rsidR="00777C94">
        <w:t xml:space="preserve">, </w:t>
      </w:r>
      <w:r w:rsidR="00777C94" w:rsidRPr="00777C94">
        <w:rPr>
          <w:rFonts w:asciiTheme="minorHAnsi" w:eastAsia="Arial Unicode MS" w:hAnsiTheme="minorHAnsi" w:cstheme="minorHAnsi"/>
          <w:lang w:eastAsia="en-GB"/>
        </w:rPr>
        <w:t>using the relevant Programme email address.</w:t>
      </w:r>
    </w:p>
    <w:p w14:paraId="1992225E" w14:textId="77777777" w:rsidR="00777C94" w:rsidRPr="00777C94" w:rsidRDefault="00777C94" w:rsidP="00777C94">
      <w:pPr>
        <w:spacing w:after="160" w:line="259" w:lineRule="auto"/>
        <w:contextualSpacing/>
        <w:jc w:val="both"/>
      </w:pPr>
    </w:p>
    <w:p w14:paraId="31BC7D32" w14:textId="5D1BEAE1" w:rsidR="00D57E36" w:rsidRDefault="0068744B" w:rsidP="0068744B">
      <w:pPr>
        <w:numPr>
          <w:ilvl w:val="0"/>
          <w:numId w:val="3"/>
        </w:numPr>
        <w:spacing w:after="160" w:line="259" w:lineRule="auto"/>
        <w:contextualSpacing/>
        <w:jc w:val="both"/>
      </w:pPr>
      <w:r w:rsidRPr="00BE4A33">
        <w:t>Applications are assessed on a case</w:t>
      </w:r>
      <w:r>
        <w:t>-</w:t>
      </w:r>
      <w:r w:rsidRPr="00BE4A33">
        <w:t>by</w:t>
      </w:r>
      <w:r>
        <w:t>-</w:t>
      </w:r>
      <w:r w:rsidRPr="00BE4A33">
        <w:t xml:space="preserve">case basis, by the </w:t>
      </w:r>
      <w:r w:rsidR="00CB1739">
        <w:t>IRC</w:t>
      </w:r>
      <w:r w:rsidRPr="00BE4A33">
        <w:t xml:space="preserve">. Once the request has been reviewed, the award holder and Host institution will be notified of the decision by email. </w:t>
      </w:r>
      <w:r w:rsidRPr="00BE4A33">
        <w:rPr>
          <w:b/>
          <w:bCs/>
        </w:rPr>
        <w:t>Receipt of a request from the award holder does not in itself guarantee approval of a no-cost extension</w:t>
      </w:r>
      <w:r w:rsidRPr="00BE4A33">
        <w:t>.</w:t>
      </w:r>
      <w:r w:rsidR="00E73488">
        <w:rPr>
          <w:rStyle w:val="FootnoteReference"/>
        </w:rPr>
        <w:footnoteReference w:id="3"/>
      </w:r>
      <w:r w:rsidR="00D57E36">
        <w:t xml:space="preserve"> </w:t>
      </w:r>
    </w:p>
    <w:p w14:paraId="28C2C978" w14:textId="77777777" w:rsidR="0068744B" w:rsidRPr="00BE4A33" w:rsidRDefault="0068744B" w:rsidP="0068744B">
      <w:pPr>
        <w:spacing w:after="160" w:line="259" w:lineRule="auto"/>
        <w:contextualSpacing/>
        <w:jc w:val="both"/>
      </w:pPr>
    </w:p>
    <w:p w14:paraId="53B7B677" w14:textId="4F73FA1D" w:rsidR="0068744B" w:rsidRDefault="0068744B" w:rsidP="0068744B">
      <w:pPr>
        <w:numPr>
          <w:ilvl w:val="0"/>
          <w:numId w:val="3"/>
        </w:numPr>
        <w:spacing w:after="160" w:line="259" w:lineRule="auto"/>
        <w:contextualSpacing/>
        <w:jc w:val="both"/>
      </w:pPr>
      <w:r w:rsidRPr="00BE4A33">
        <w:t xml:space="preserve">Approved extension will be followed by the issue of </w:t>
      </w:r>
      <w:r w:rsidRPr="00BE4A33">
        <w:rPr>
          <w:b/>
          <w:bCs/>
        </w:rPr>
        <w:t xml:space="preserve">a Letter of Variation </w:t>
      </w:r>
      <w:r w:rsidRPr="00BE4A33">
        <w:t xml:space="preserve">to the Host Institution, outlining the change(s) to the original terms of the award and the </w:t>
      </w:r>
      <w:r w:rsidRPr="00BE4A33">
        <w:rPr>
          <w:b/>
          <w:bCs/>
        </w:rPr>
        <w:t>new End Date of the award</w:t>
      </w:r>
      <w:r w:rsidRPr="00BE4A33">
        <w:t xml:space="preserve">. </w:t>
      </w:r>
      <w:r>
        <w:t>T</w:t>
      </w:r>
      <w:r w:rsidRPr="001441FF">
        <w:t xml:space="preserve">he process </w:t>
      </w:r>
      <w:r>
        <w:t>is deemed</w:t>
      </w:r>
      <w:r w:rsidRPr="001441FF">
        <w:t xml:space="preserve"> complete </w:t>
      </w:r>
      <w:r>
        <w:t>o</w:t>
      </w:r>
      <w:r w:rsidRPr="00BE4A33">
        <w:t xml:space="preserve">nce </w:t>
      </w:r>
      <w:r>
        <w:t xml:space="preserve">the letter </w:t>
      </w:r>
      <w:r w:rsidRPr="00BE4A33">
        <w:t>is signed by the Host Institution</w:t>
      </w:r>
      <w:r>
        <w:t xml:space="preserve"> </w:t>
      </w:r>
      <w:r w:rsidRPr="00BE4A33">
        <w:t xml:space="preserve">and returned to the </w:t>
      </w:r>
      <w:r w:rsidR="00CB1739">
        <w:t>IRC</w:t>
      </w:r>
      <w:r>
        <w:t>.</w:t>
      </w:r>
    </w:p>
    <w:p w14:paraId="49DFE412" w14:textId="77777777" w:rsidR="0068744B" w:rsidRDefault="0068744B" w:rsidP="0068744B">
      <w:pPr>
        <w:spacing w:after="160" w:line="259" w:lineRule="auto"/>
        <w:contextualSpacing/>
      </w:pPr>
    </w:p>
    <w:p w14:paraId="29D1D671" w14:textId="59DA9AF6" w:rsidR="00EB206F" w:rsidRPr="0068744B" w:rsidRDefault="0068744B" w:rsidP="0068744B">
      <w:pPr>
        <w:spacing w:after="160" w:line="259" w:lineRule="auto"/>
        <w:contextualSpacing/>
        <w:rPr>
          <w:b/>
          <w:bCs/>
          <w:sz w:val="28"/>
          <w:szCs w:val="28"/>
          <w:u w:val="single"/>
        </w:rPr>
      </w:pPr>
      <w:r>
        <w:t>(END)</w:t>
      </w:r>
    </w:p>
    <w:sectPr w:rsidR="00EB206F" w:rsidRPr="0068744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09DAA" w14:textId="77777777" w:rsidR="001D59FD" w:rsidRDefault="001D59FD" w:rsidP="0068744B">
      <w:pPr>
        <w:spacing w:after="0" w:line="240" w:lineRule="auto"/>
      </w:pPr>
      <w:r>
        <w:separator/>
      </w:r>
    </w:p>
  </w:endnote>
  <w:endnote w:type="continuationSeparator" w:id="0">
    <w:p w14:paraId="3EC1C5B1" w14:textId="77777777" w:rsidR="001D59FD" w:rsidRDefault="001D59FD" w:rsidP="0068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5CD7F" w14:textId="77777777" w:rsidR="001D59FD" w:rsidRDefault="001D59FD" w:rsidP="0068744B">
      <w:pPr>
        <w:spacing w:after="0" w:line="240" w:lineRule="auto"/>
      </w:pPr>
      <w:r>
        <w:separator/>
      </w:r>
    </w:p>
  </w:footnote>
  <w:footnote w:type="continuationSeparator" w:id="0">
    <w:p w14:paraId="5C5190EC" w14:textId="77777777" w:rsidR="001D59FD" w:rsidRDefault="001D59FD" w:rsidP="0068744B">
      <w:pPr>
        <w:spacing w:after="0" w:line="240" w:lineRule="auto"/>
      </w:pPr>
      <w:r>
        <w:continuationSeparator/>
      </w:r>
    </w:p>
  </w:footnote>
  <w:footnote w:id="1">
    <w:p w14:paraId="78156FA0" w14:textId="197CCCD2" w:rsidR="00290903" w:rsidRPr="00E73488" w:rsidRDefault="00290903">
      <w:pPr>
        <w:pStyle w:val="FootnoteText"/>
        <w:rPr>
          <w:b/>
          <w:bCs/>
        </w:rPr>
      </w:pPr>
      <w:r w:rsidRPr="00E73488">
        <w:rPr>
          <w:rStyle w:val="FootnoteReference"/>
          <w:b/>
          <w:bCs/>
          <w:color w:val="FF0000"/>
        </w:rPr>
        <w:footnoteRef/>
      </w:r>
      <w:r w:rsidRPr="00E73488">
        <w:rPr>
          <w:b/>
          <w:bCs/>
          <w:color w:val="FF0000"/>
        </w:rPr>
        <w:t xml:space="preserve"> Budget reallocations may not be sought for early-career awards.</w:t>
      </w:r>
    </w:p>
  </w:footnote>
  <w:footnote w:id="2">
    <w:p w14:paraId="60995C0F" w14:textId="12612212" w:rsidR="00290903" w:rsidRPr="00E73488" w:rsidRDefault="00290903">
      <w:pPr>
        <w:pStyle w:val="FootnoteText"/>
        <w:rPr>
          <w:b/>
          <w:bCs/>
        </w:rPr>
      </w:pPr>
      <w:r w:rsidRPr="00E73488">
        <w:rPr>
          <w:rStyle w:val="FootnoteReference"/>
          <w:b/>
          <w:bCs/>
          <w:color w:val="FF0000"/>
        </w:rPr>
        <w:footnoteRef/>
      </w:r>
      <w:r w:rsidRPr="00E73488">
        <w:rPr>
          <w:b/>
          <w:bCs/>
          <w:color w:val="FF0000"/>
        </w:rPr>
        <w:t xml:space="preserve"> Budget reallocations are not permitted for early-career awards.</w:t>
      </w:r>
    </w:p>
  </w:footnote>
  <w:footnote w:id="3">
    <w:p w14:paraId="3D01EEE2" w14:textId="77777777" w:rsidR="00E73488" w:rsidRDefault="00E73488" w:rsidP="00E73488">
      <w:pPr>
        <w:rPr>
          <w:rFonts w:eastAsiaTheme="minorHAnsi"/>
          <w:i/>
          <w:iCs/>
          <w:sz w:val="20"/>
          <w:szCs w:val="20"/>
          <w:lang w:eastAsia="en-IE"/>
        </w:rPr>
      </w:pPr>
      <w:r>
        <w:rPr>
          <w:rStyle w:val="FootnoteReference"/>
        </w:rPr>
        <w:footnoteRef/>
      </w:r>
      <w:r>
        <w:t xml:space="preserve"> </w:t>
      </w:r>
      <w:r w:rsidRPr="007E6AFA">
        <w:rPr>
          <w:i/>
          <w:iCs/>
          <w:sz w:val="18"/>
          <w:szCs w:val="18"/>
        </w:rPr>
        <w:t xml:space="preserve">Please note where an enterprise/employment partner is involved in an award, the partner’s agreement to the extension must be provided before the IRC can approve the request. For costed HEA COVID-related extensions, </w:t>
      </w:r>
      <w:r w:rsidRPr="007E6AFA">
        <w:rPr>
          <w:b/>
          <w:bCs/>
          <w:i/>
          <w:iCs/>
          <w:sz w:val="18"/>
          <w:szCs w:val="18"/>
        </w:rPr>
        <w:t xml:space="preserve">the enterprise/employment partner must agree to contribute to the non-exchequer element of the award, i.e. continue to contribute at their usual rate for the duration of the costed HEA COVID related extension. </w:t>
      </w:r>
      <w:r w:rsidRPr="007E6AFA">
        <w:rPr>
          <w:i/>
          <w:iCs/>
          <w:sz w:val="18"/>
          <w:szCs w:val="18"/>
        </w:rPr>
        <w:t>Where the enterprise/employment partner can prove they are unable to contribute financially to the non-exchequer element of the award, they must agree to contribute in-kind providing State Aid rules are adhered to.</w:t>
      </w:r>
    </w:p>
    <w:p w14:paraId="130EB42D" w14:textId="0E36361C" w:rsidR="00E73488" w:rsidRDefault="00E7348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5047F" w14:textId="296B68AC" w:rsidR="0068744B" w:rsidRDefault="0068744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9B4855" wp14:editId="3B4DE92D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995614" cy="1561381"/>
          <wp:effectExtent l="0" t="0" r="5715" b="1270"/>
          <wp:wrapTopAndBottom/>
          <wp:docPr id="1" name="Picture 1" descr="Production_04:Users:production04:Documents:CCD04-DEARBHLA:CCD04-DEARBHLA-ARTWORK:HEA | IRC:03928-IRC-Letterhead+ComplimentSlip-Word-DOC:03928-IRC-Stationery-Proof#01-DOC-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Production_04:Users:production04:Documents:CCD04-DEARBHLA:CCD04-DEARBHLA-ARTWORK:HEA | IRC:03928-IRC-Letterhead+ComplimentSlip-Word-DOC:03928-IRC-Stationery-Proof#01-DOC-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5614" cy="15613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4504"/>
    <w:multiLevelType w:val="hybridMultilevel"/>
    <w:tmpl w:val="F60831E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037699"/>
    <w:multiLevelType w:val="hybridMultilevel"/>
    <w:tmpl w:val="DCB83A8E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120F84"/>
    <w:multiLevelType w:val="hybridMultilevel"/>
    <w:tmpl w:val="6D7E174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7D3E9D"/>
    <w:multiLevelType w:val="hybridMultilevel"/>
    <w:tmpl w:val="91F4B31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2B6F26"/>
    <w:multiLevelType w:val="hybridMultilevel"/>
    <w:tmpl w:val="C338BDCE"/>
    <w:lvl w:ilvl="0" w:tplc="1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u w:val="none"/>
      </w:rPr>
    </w:lvl>
    <w:lvl w:ilvl="1" w:tplc="1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567113662">
    <w:abstractNumId w:val="3"/>
  </w:num>
  <w:num w:numId="2" w16cid:durableId="1143932346">
    <w:abstractNumId w:val="0"/>
  </w:num>
  <w:num w:numId="3" w16cid:durableId="286472668">
    <w:abstractNumId w:val="2"/>
  </w:num>
  <w:num w:numId="4" w16cid:durableId="1754543565">
    <w:abstractNumId w:val="4"/>
  </w:num>
  <w:num w:numId="5" w16cid:durableId="17825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4B"/>
    <w:rsid w:val="000D3065"/>
    <w:rsid w:val="001950E0"/>
    <w:rsid w:val="001D59FD"/>
    <w:rsid w:val="001F4974"/>
    <w:rsid w:val="00232DD9"/>
    <w:rsid w:val="00290903"/>
    <w:rsid w:val="002D05B6"/>
    <w:rsid w:val="004A238E"/>
    <w:rsid w:val="005B6DAD"/>
    <w:rsid w:val="0068744B"/>
    <w:rsid w:val="006B14B7"/>
    <w:rsid w:val="00777C94"/>
    <w:rsid w:val="008E0030"/>
    <w:rsid w:val="00976DED"/>
    <w:rsid w:val="009F7FCD"/>
    <w:rsid w:val="00AE5C7A"/>
    <w:rsid w:val="00B27544"/>
    <w:rsid w:val="00B6799D"/>
    <w:rsid w:val="00CB1739"/>
    <w:rsid w:val="00D57E36"/>
    <w:rsid w:val="00E03E3E"/>
    <w:rsid w:val="00E41BBB"/>
    <w:rsid w:val="00E73488"/>
    <w:rsid w:val="00EB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2011F"/>
  <w15:chartTrackingRefBased/>
  <w15:docId w15:val="{3D6CCD2D-D4EC-4ADB-BA8F-C816678B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4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4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87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44B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777C9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77C94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7E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7E3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7E36"/>
    <w:rPr>
      <w:vertAlign w:val="superscript"/>
    </w:rPr>
  </w:style>
  <w:style w:type="paragraph" w:styleId="Revision">
    <w:name w:val="Revision"/>
    <w:hidden/>
    <w:uiPriority w:val="99"/>
    <w:semiHidden/>
    <w:rsid w:val="00290903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909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9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90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9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90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5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1D928-22E0-44E4-8F0D-171D88323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Anne-Julie Lafaye</dc:creator>
  <cp:keywords/>
  <dc:description/>
  <cp:lastModifiedBy>Rosemary Sweeney</cp:lastModifiedBy>
  <cp:revision>2</cp:revision>
  <dcterms:created xsi:type="dcterms:W3CDTF">2024-06-14T11:29:00Z</dcterms:created>
  <dcterms:modified xsi:type="dcterms:W3CDTF">2024-06-14T11:29:00Z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Owner">
    <vt:lpwstr>eobrien@research.ie</vt:lpwstr>
  </property>
  <property fmtid="{D5CDD505-2E9C-101B-9397-08002B2CF9AE}" pid="5" name="MSIP_Label_86a2108b-8015-45b4-a03b-cf4c4afb0df7_SetDate">
    <vt:lpwstr>2020-08-31T16:25:18.2431818Z</vt:lpwstr>
  </property>
  <property fmtid="{D5CDD505-2E9C-101B-9397-08002B2CF9AE}" pid="6" name="MSIP_Label_86a2108b-8015-45b4-a03b-cf4c4afb0df7_Name">
    <vt:lpwstr>Public</vt:lpwstr>
  </property>
  <property fmtid="{D5CDD505-2E9C-101B-9397-08002B2CF9AE}" pid="7" name="MSIP_Label_86a2108b-8015-45b4-a03b-cf4c4afb0df7_Application">
    <vt:lpwstr>Microsoft Azure Information Protection</vt:lpwstr>
  </property>
  <property fmtid="{D5CDD505-2E9C-101B-9397-08002B2CF9AE}" pid="8" name="MSIP_Label_86a2108b-8015-45b4-a03b-cf4c4afb0df7_ActionId">
    <vt:lpwstr>83a842de-0d52-4e35-aca9-fc8c3d810079</vt:lpwstr>
  </property>
  <property fmtid="{D5CDD505-2E9C-101B-9397-08002B2CF9AE}" pid="9" name="MSIP_Label_86a2108b-8015-45b4-a03b-cf4c4afb0df7_Extended_MSFT_Method">
    <vt:lpwstr>Manual</vt:lpwstr>
  </property>
  <property fmtid="{D5CDD505-2E9C-101B-9397-08002B2CF9AE}" pid="10" name="Sensitivity">
    <vt:lpwstr>Public</vt:lpwstr>
  </property>
</Properties>
</file>